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Оценка результатов удовлетворенности родителей качеством образования деятельности ОГА ПОУ «Дорожно-транспортный техникум в процентном соотношении» </w:t>
      </w:r>
      <w:r>
        <w:rPr>
          <w:b/>
          <w:sz w:val="32"/>
          <w:szCs w:val="32"/>
        </w:rPr>
      </w:r>
    </w:p>
    <w:p>
      <w:pPr>
        <w:pStyle w:val="61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W w:w="1478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Критерий качества образования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Положительная оценка респондентов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Отрицательная оценка респондентов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23.01.17 Мастер по ремонту и обслуживанию автомобилей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23.01.06 Машинист дорожных и строительных машин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0%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0%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jc w:val="center"/>
              <w:spacing w:before="0" w:after="0"/>
              <w:widowControl/>
              <w:rPr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35.01.13 Тракторист машинист сельскохозяйственного производства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88%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jc w:val="center"/>
              <w:spacing w:before="0" w:after="0"/>
              <w:widowControl/>
              <w:rPr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shd w:val="clear" w:color="d9d9d9" w:themeColor="background1" w:themeShade="D9" w:fill="d9d9d9" w:themeFill="background1" w:themeFillShade="D9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35.01.27 Мастер сельскохозяйственного производства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88%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12%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86%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16%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jc w:val="center"/>
              <w:spacing w:before="0" w:after="0"/>
              <w:widowControl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23.02.07 Техническое обслуживание и ремонт двигателей систем и агрегатов автомобилей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jc w:val="center"/>
              <w:spacing w:before="0" w:after="0"/>
              <w:widowControl/>
              <w:rPr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23.02.04 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97%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  <w:r>
              <w:rPr>
                <w:rFonts w:eastAsia="Lucida Sans Unicode" w:cs="Tahoma"/>
                <w:sz w:val="28"/>
                <w:szCs w:val="28"/>
                <w:lang w:val="ru-RU" w:eastAsia="en-US" w:bidi="ar-SA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sz w:val="28"/>
                <w:szCs w:val="28"/>
                <w:lang w:val="ru-RU" w:eastAsia="en-US" w:bidi="ar-SA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35.02.16 Эксплуатация и ремонт сельскохозяйственной техники и оборудования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0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10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88%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88%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12%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91%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89%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11%</w:t>
            </w:r>
            <w:r>
              <w:rPr>
                <w:rFonts w:eastAsia="Lucida Sans Unicode" w:cs="Tahoma"/>
                <w:b/>
                <w:bCs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jc w:val="center"/>
              <w:spacing w:before="0" w:after="0"/>
              <w:widowControl/>
              <w:rPr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Lucida Sans Unicode" w:cs="Tahoma"/>
                <w:b/>
                <w:sz w:val="28"/>
                <w:szCs w:val="28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shd w:val="clear" w:color="auto" w:fill="bfbfbf" w:themeFill="background1" w:themeFillShade="BF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40.02.02 Правоохранительная деятельность</w:t>
            </w:r>
            <w:bookmarkEnd w:id="0"/>
            <w:r>
              <w:rPr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98%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b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shd w:val="clear" w:color="d9d9d9" w:themeColor="background1" w:themeShade="D9" w:fill="d9d9d9" w:themeFill="background1" w:themeFillShade="D9"/>
              <w:widowControl/>
              <w:rPr>
                <w:bCs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18511 Слесарь по ремонту автомобилей</w:t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98%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96%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shd w:val="clear" w:color="d9d9d9" w:themeColor="background1" w:themeShade="D9" w:fill="d9d9d9" w:themeFill="background1" w:themeFillShade="D9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13450 Маляр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Психологический климат в техникуме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Профессиональная подготовка педагогов (компетентность педагогов)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знаний учеников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Качество материально-технической  и учебно-методической базы техникума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Готовность порекомендовать ОУ родственникам и знакомым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  <w:tr>
        <w:tblPrEx/>
        <w:trPr>
          <w:trHeight w:val="434"/>
        </w:trPr>
        <w:tc>
          <w:tcPr>
            <w:tcW w:w="4928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Итого: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/>
              <w:widowControl/>
              <w:rPr>
                <w:rFonts w:ascii="Times New Roman" w:hAnsi="Times New Roman" w:eastAsia="Lucida Sans Unicode" w:cs="Tahoma"/>
                <w:sz w:val="28"/>
                <w:szCs w:val="28"/>
              </w:rPr>
            </w:pP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eastAsia="Lucida Sans Unicode" w:cs="Tahoma"/>
                <w:b/>
                <w:sz w:val="28"/>
                <w:szCs w:val="28"/>
                <w:lang w:val="ru-RU" w:eastAsia="en-US" w:bidi="ar-SA"/>
              </w:rPr>
              <w:t xml:space="preserve">%</w:t>
            </w:r>
            <w:r>
              <w:rPr>
                <w:rFonts w:ascii="Times New Roman" w:hAnsi="Times New Roman" w:eastAsia="Lucida Sans Unicode" w:cs="Tahoma"/>
                <w:sz w:val="28"/>
                <w:szCs w:val="28"/>
              </w:rPr>
            </w:r>
          </w:p>
        </w:tc>
      </w:tr>
    </w:tbl>
    <w:p>
      <w:pPr>
        <w:pStyle w:val="617"/>
        <w:ind w:firstLine="70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center"/>
        <w:spacing w:before="0" w:after="0"/>
      </w:pPr>
      <w:r>
        <w:rPr>
          <w:rFonts w:cs="Times New Roman"/>
          <w:sz w:val="28"/>
          <w:szCs w:val="28"/>
        </w:rPr>
        <w:t xml:space="preserve">Директор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Т.П. Курбанов</w:t>
      </w:r>
      <w:r/>
    </w:p>
    <w:p>
      <w:pPr>
        <w:ind w:firstLine="0"/>
        <w:jc w:val="left"/>
        <w:spacing w:before="0" w:after="0"/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highlight w:val="none"/>
        </w:rPr>
      </w:r>
    </w:p>
    <w:p>
      <w:pPr>
        <w:pStyle w:val="617"/>
        <w:ind w:firstLine="0"/>
        <w:jc w:val="left"/>
        <w:spacing w:before="0" w:after="0"/>
        <w:rPr>
          <w:sz w:val="18"/>
          <w:szCs w:val="18"/>
          <w:highlight w:val="none"/>
        </w:rPr>
      </w:pPr>
      <w:r>
        <w:rPr>
          <w:sz w:val="18"/>
        </w:rPr>
        <w:t xml:space="preserve">Исполнитель:</w:t>
      </w:r>
      <w:r/>
    </w:p>
    <w:p>
      <w:pPr>
        <w:pStyle w:val="652"/>
        <w:spacing w:before="0" w:after="0"/>
      </w:pPr>
      <w:r>
        <w:rPr>
          <w:sz w:val="18"/>
        </w:rPr>
        <w:t xml:space="preserve">заместитель директора по УВР</w:t>
      </w:r>
      <w:r/>
    </w:p>
    <w:p>
      <w:pPr>
        <w:pStyle w:val="652"/>
        <w:spacing w:before="0" w:after="0"/>
      </w:pPr>
      <w:r>
        <w:rPr>
          <w:sz w:val="18"/>
          <w:szCs w:val="18"/>
        </w:rPr>
        <w:t xml:space="preserve">Иванова Наталья Федоровна</w:t>
      </w:r>
      <w:r/>
    </w:p>
    <w:p>
      <w:pPr>
        <w:pStyle w:val="652"/>
        <w:spacing w:before="0" w:after="0"/>
      </w:pPr>
      <w:r>
        <w:rPr>
          <w:sz w:val="18"/>
          <w:szCs w:val="18"/>
        </w:rPr>
        <w:t xml:space="preserve">8(8162)68-44-62</w:t>
      </w:r>
      <w:r/>
    </w:p>
    <w:p>
      <w:pPr>
        <w:pStyle w:val="617"/>
        <w:jc w:val="center"/>
        <w:rPr>
          <w:b/>
          <w:bCs/>
          <w:sz w:val="32"/>
          <w:szCs w:val="32"/>
        </w:rPr>
      </w:pPr>
      <w:r>
        <w:t xml:space="preserve">9 января 2024</w:t>
      </w:r>
      <w:r>
        <w:rPr>
          <w:b/>
          <w:bCs/>
          <w:sz w:val="32"/>
          <w:szCs w:val="32"/>
        </w:rPr>
      </w:r>
    </w:p>
    <w:sectPr>
      <w:footnotePr/>
      <w:endnotePr/>
      <w:type w:val="nextPage"/>
      <w:pgSz w:w="16838" w:h="11906" w:orient="landscape"/>
      <w:pgMar w:top="850" w:right="1134" w:bottom="108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Lucida Sans Unicode">
    <w:panose1 w:val="020B060203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Lucida Sans Unicode" w:cs="Tahoma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Lucida Sans Unicode" w:cs="Tahoma"/>
      <w:color w:val="auto"/>
      <w:sz w:val="20"/>
      <w:szCs w:val="20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50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50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50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5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5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50"/>
    <w:uiPriority w:val="10"/>
    <w:qFormat/>
    <w:rPr>
      <w:sz w:val="48"/>
      <w:szCs w:val="48"/>
    </w:rPr>
  </w:style>
  <w:style w:type="character" w:styleId="637">
    <w:name w:val="Subtitle Char"/>
    <w:basedOn w:val="650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50"/>
    <w:uiPriority w:val="99"/>
    <w:qFormat/>
  </w:style>
  <w:style w:type="character" w:styleId="641">
    <w:name w:val="Footer Char"/>
    <w:basedOn w:val="650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paragraph" w:styleId="651">
    <w:name w:val="Заголовок"/>
    <w:basedOn w:val="617"/>
    <w:next w:val="65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2" w:customStyle="1">
    <w:name w:val="Body Text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653">
    <w:name w:val="List"/>
    <w:basedOn w:val="652"/>
    <w:rPr>
      <w:rFonts w:ascii="PT Astra Serif" w:hAnsi="PT Astra Serif" w:cs="Noto Sans Devanagari"/>
    </w:rPr>
  </w:style>
  <w:style w:type="paragraph" w:styleId="654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5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56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65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Lucida Sans Unicode" w:cs="Tahoma"/>
      <w:color w:val="auto"/>
      <w:sz w:val="20"/>
      <w:szCs w:val="20"/>
      <w:lang w:val="ru-RU" w:eastAsia="en-US" w:bidi="ar-SA"/>
    </w:rPr>
  </w:style>
  <w:style w:type="paragraph" w:styleId="658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9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0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661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2">
    <w:name w:val="Колонтитул"/>
    <w:basedOn w:val="617"/>
    <w:qFormat/>
  </w:style>
  <w:style w:type="paragraph" w:styleId="663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4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6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7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68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69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0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1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2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3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4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5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6">
    <w:name w:val="Index Heading"/>
    <w:basedOn w:val="651"/>
  </w:style>
  <w:style w:type="paragraph" w:styleId="677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Lucida Sans Unicode" w:cs="Tahoma"/>
      <w:color w:val="auto"/>
      <w:sz w:val="20"/>
      <w:szCs w:val="20"/>
      <w:lang w:val="ru-RU" w:eastAsia="en-US" w:bidi="ar-SA"/>
    </w:rPr>
  </w:style>
  <w:style w:type="paragraph" w:styleId="678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679" w:customStyle="1">
    <w:name w:val="Table Paragraph"/>
    <w:basedOn w:val="617"/>
    <w:uiPriority w:val="1"/>
    <w:qFormat/>
    <w:pPr>
      <w:ind w:left="128" w:firstLine="0"/>
      <w:spacing w:line="289" w:lineRule="exact"/>
      <w:widowControl w:val="off"/>
    </w:pPr>
    <w:rPr>
      <w:rFonts w:eastAsia="Times New Roman" w:cs="Times New Roman"/>
      <w:sz w:val="22"/>
      <w:szCs w:val="22"/>
    </w:rPr>
  </w:style>
  <w:style w:type="numbering" w:styleId="680" w:default="1">
    <w:name w:val="No List"/>
    <w:uiPriority w:val="99"/>
    <w:semiHidden/>
    <w:unhideWhenUsed/>
    <w:qFormat/>
  </w:style>
  <w:style w:type="table" w:styleId="2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E4C8-A41A-4887-9B76-48AF9932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12</cp:revision>
  <dcterms:created xsi:type="dcterms:W3CDTF">2024-01-25T14:59:00Z</dcterms:created>
  <dcterms:modified xsi:type="dcterms:W3CDTF">2025-01-20T05:32:16Z</dcterms:modified>
</cp:coreProperties>
</file>